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 w:firstLine="0" w:firstLineChars="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附件1：         </w:t>
      </w:r>
    </w:p>
    <w:p>
      <w:pPr>
        <w:pStyle w:val="2"/>
        <w:spacing w:line="580" w:lineRule="exact"/>
        <w:ind w:left="0" w:leftChars="0" w:firstLine="0" w:firstLineChars="0"/>
        <w:rPr>
          <w:rFonts w:hint="eastAsia" w:ascii="宋体" w:hAnsi="宋体" w:cs="宋体"/>
          <w:sz w:val="32"/>
          <w:szCs w:val="32"/>
        </w:rPr>
      </w:pPr>
    </w:p>
    <w:p>
      <w:pPr>
        <w:pStyle w:val="2"/>
        <w:spacing w:line="580" w:lineRule="exact"/>
        <w:ind w:left="0" w:leftChars="0" w:firstLine="0" w:firstLineChars="0"/>
        <w:jc w:val="center"/>
        <w:rPr>
          <w:rFonts w:hint="eastAsia"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体育俱乐部考核评分细则</w:t>
      </w:r>
    </w:p>
    <w:bookmarkEnd w:id="0"/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20"/>
        <w:gridCol w:w="70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评估指标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  估  内  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  分  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组织机构（6分）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7"/>
              <w:spacing w:line="34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1、有健全的组织机构。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组织机构人员职责。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2、有完善的俱乐部章程及制度。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俱乐部章程，记1分；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俱乐部制度，记1分；体现公益性，并有佐证资料，记1分。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场地设施（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7"/>
              <w:spacing w:line="340" w:lineRule="exact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1、投资建设体育场地（场馆），确保场地质量，安全有效、合理使用。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投资建设体育场地（场馆），10-50万记2分；50万以上-100万记3分；100万以上-200万记5分；200万以上记6分。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7"/>
              <w:spacing w:line="34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2、有自主经营的运动场地，经常开放。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对外开放、开展丰富多彩的赛事活动，1分/次，最高记2分。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3、有固定办公场所（提供租赁合同或产权证明）。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办公场地≥200平方米，记2分；办公场地≥100平米，记1.5分；办公场地低于100平米，记1分；无则不计分。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财务制度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（10分）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1、有严格的财务管理制度，经费使用规范；购买学生意外保险或场地险。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有财务制度，使用规范，记2分；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</w:rPr>
              <w:t>2、提供学生名单和保险凭证，记2分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2、收支要有明细分类账和明细对账单；按时发放教练员及相关人员的工资。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有收支明细、清晰，记2分；</w:t>
            </w:r>
          </w:p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按时发放工资，记2分。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3、年审情况。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按时年检并合格，记2分。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团队服务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（10分）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1、配合学校开展校级特色活动。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协助或参与校级特色活动记录、图片、新闻等（2021年1月-2022年7月期间），1分/次。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2、积极承办各级赛事，扩大影响，营造氛围。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2019年以来承接活动，记6分：省级3分/次、市级2分/次、区级或校级1分/次。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师资团队（20分）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1、行政管理人员、教师人数符合办学规模，教练员具有资质证书、聘任合同。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专职人员（含保险凭证）人员名册，记0.5分/人，最高记2分；</w:t>
            </w:r>
          </w:p>
          <w:p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教练员资质证书，0.5分/人，最高记3分；聘任合同（同时提供购买保险证明），0.5分/人，最高记3分。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2、行政管理人员、教练员担任单项协会的骨干职务。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聘请证书，每一人记1分。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3、单位、管理人员、教练员获得区级以上荣誉。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获奖证书，每一项记1分。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4、年度教练员业务学习、培训计划。内部培训或研讨活动每年不少于10次，外出培训每年不少于1次。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年度培训计划，记1分；</w:t>
            </w:r>
          </w:p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内部培训，0.2分/次，记2分。</w:t>
            </w:r>
          </w:p>
          <w:p>
            <w:pPr>
              <w:numPr>
                <w:ilvl w:val="0"/>
                <w:numId w:val="5"/>
              </w:num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外出培训，记1分。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提供过程性资料。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课程实施</w:t>
            </w:r>
            <w:r>
              <w:rPr>
                <w:rFonts w:hint="eastAsia" w:ascii="宋体" w:hAnsi="宋体"/>
                <w:szCs w:val="21"/>
              </w:rPr>
              <w:t>（15分）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4"/>
              <w:widowControl/>
              <w:autoSpaceDE w:val="0"/>
              <w:adjustRightInd w:val="0"/>
              <w:snapToGrid w:val="0"/>
              <w:spacing w:before="0" w:beforeAutospacing="0" w:after="0" w:afterAutospacing="0" w:line="340" w:lineRule="exact"/>
              <w:ind w:right="-11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课程体系完善，课程标准和课程设计符合当前形势，理念新，有创意。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pStyle w:val="2"/>
              <w:numPr>
                <w:ilvl w:val="0"/>
                <w:numId w:val="6"/>
              </w:numPr>
              <w:spacing w:after="0" w:line="340" w:lineRule="exact"/>
              <w:ind w:left="0" w:leftChars="0" w:right="-11"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课程标准，记2分；</w:t>
            </w:r>
          </w:p>
          <w:p>
            <w:pPr>
              <w:pStyle w:val="2"/>
              <w:spacing w:after="0" w:line="340" w:lineRule="exact"/>
              <w:ind w:left="0" w:leftChars="0" w:right="-11"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2、课程设计，记3分。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4"/>
              <w:widowControl/>
              <w:autoSpaceDE w:val="0"/>
              <w:adjustRightInd w:val="0"/>
              <w:snapToGrid w:val="0"/>
              <w:spacing w:before="0" w:beforeAutospacing="0" w:after="0" w:afterAutospacing="0" w:line="340" w:lineRule="exact"/>
              <w:ind w:right="-11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教学内容（课时安排、教学管理、评价反馈等。）</w:t>
            </w:r>
          </w:p>
          <w:p>
            <w:pPr>
              <w:pStyle w:val="4"/>
              <w:widowControl/>
              <w:autoSpaceDE w:val="0"/>
              <w:adjustRightInd w:val="0"/>
              <w:snapToGrid w:val="0"/>
              <w:spacing w:before="0" w:beforeAutospacing="0" w:after="0" w:afterAutospacing="0" w:line="340" w:lineRule="exact"/>
              <w:ind w:right="-11"/>
              <w:jc w:val="both"/>
              <w:rPr>
                <w:rFonts w:hint="eastAsia"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可申报3项课程。</w:t>
            </w:r>
          </w:p>
          <w:p>
            <w:pPr>
              <w:pStyle w:val="2"/>
              <w:spacing w:after="0" w:line="340" w:lineRule="exact"/>
              <w:ind w:left="0" w:leftChars="0" w:right="-11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优（内容完整、全面，理念新），记8-10分；</w:t>
            </w:r>
          </w:p>
          <w:p>
            <w:pPr>
              <w:pStyle w:val="2"/>
              <w:spacing w:after="0" w:line="340" w:lineRule="exact"/>
              <w:ind w:left="0" w:leftChars="0" w:right="-11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良（内容比较完整，比较全面），记5-7分；</w:t>
            </w:r>
          </w:p>
          <w:p>
            <w:pPr>
              <w:pStyle w:val="2"/>
              <w:spacing w:after="0" w:line="340" w:lineRule="exact"/>
              <w:ind w:left="0" w:leftChars="0" w:right="-11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一般（内容大体完整，没有原则性的错误），记1-4分；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差（内容不完整，层次混乱，缺乏相关内容），不计分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相关业绩</w:t>
            </w:r>
          </w:p>
          <w:p>
            <w:pPr>
              <w:pStyle w:val="2"/>
              <w:spacing w:line="340" w:lineRule="exact"/>
              <w:ind w:left="0" w:leftChars="0" w:firstLine="0" w:firstLineChars="0"/>
            </w:pPr>
            <w:r>
              <w:rPr>
                <w:rFonts w:hint="eastAsia" w:ascii="宋体" w:hAnsi="宋体"/>
                <w:szCs w:val="21"/>
              </w:rPr>
              <w:t>（29分）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1、提供2019年1月至今由行业行政主管部门或单项体育协会组织的比赛获奖情况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pStyle w:val="2"/>
              <w:numPr>
                <w:ilvl w:val="0"/>
                <w:numId w:val="7"/>
              </w:num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参加长沙市第十届运动会青少年组赛事：金牌记2分、银牌记1.5分、铜牌记1分，4-8名各记0.5分，最高记10分</w:t>
            </w:r>
            <w:r>
              <w:rPr>
                <w:rFonts w:hint="eastAsia" w:ascii="宋体" w:hAnsi="宋体"/>
                <w:szCs w:val="21"/>
              </w:rPr>
              <w:t>（提供相关证明材料复印件）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numPr>
                <w:ilvl w:val="0"/>
                <w:numId w:val="7"/>
              </w:num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常规赛事（区级以上）：第一名</w:t>
            </w:r>
            <w:r>
              <w:rPr>
                <w:rFonts w:hint="eastAsia"/>
              </w:rPr>
              <w:t>记1分、第二名记0.6分、第三名记0.3分，4-8名各记0.2分，</w:t>
            </w:r>
            <w:r>
              <w:rPr>
                <w:rFonts w:hint="eastAsia" w:ascii="宋体" w:hAnsi="宋体"/>
                <w:szCs w:val="21"/>
              </w:rPr>
              <w:t>最高记8分（提供相关证明材料复印件）。</w:t>
            </w:r>
          </w:p>
          <w:p>
            <w:pPr>
              <w:pStyle w:val="2"/>
              <w:ind w:left="0" w:leftChars="0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注：申报业绩项目需与申报课程一致（如申报篮球课程，对应申报篮球项目业绩）。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2、向上一级输送优秀队员。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输送队员到市级以上单位，每人记1分（有录取通知、或相关单位证明），最高记5分。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3、宣传辐射、成果发表。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1分/次，最高记2分。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4、办学经验丰富。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1、办学年限2分（每3年1分，不足三年记0.5分，6年含6年以上记2分）；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2、与学校合作办学记2分，每合作一个学校（2021年1月-2022年7月期间）记0.5分。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C653FE"/>
    <w:multiLevelType w:val="singleLevel"/>
    <w:tmpl w:val="A0C653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77F313"/>
    <w:multiLevelType w:val="singleLevel"/>
    <w:tmpl w:val="B377F31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6056E55"/>
    <w:multiLevelType w:val="singleLevel"/>
    <w:tmpl w:val="B6056E5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E59D641"/>
    <w:multiLevelType w:val="singleLevel"/>
    <w:tmpl w:val="DE59D64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697BDA7"/>
    <w:multiLevelType w:val="singleLevel"/>
    <w:tmpl w:val="E697BDA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734568C"/>
    <w:multiLevelType w:val="singleLevel"/>
    <w:tmpl w:val="2734568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704B3C4E"/>
    <w:multiLevelType w:val="singleLevel"/>
    <w:tmpl w:val="704B3C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WI1MWZhYzNkOTZlODRhMjIyMjE3YzQyNTFjYmQifQ=="/>
  </w:docVars>
  <w:rsids>
    <w:rsidRoot w:val="4CD225B3"/>
    <w:rsid w:val="4CD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2022-08-08T07:37:00Z</dcterms:created>
  <dc:creator>A </dc:creator>
  <cp:lastModifiedBy>A </cp:lastModifiedBy>
  <dcterms:modified xsi:type="dcterms:W3CDTF">2022-08-08T07:38:11Z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27396826803E4F559C2675E125732772</vt:lpwstr>
  </property>
</Properties>
</file>