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202</w:t>
      </w:r>
      <w:r>
        <w:rPr>
          <w:rFonts w:hint="default" w:ascii="Times New Roman" w:hAnsi="Times New Roman" w:eastAsia="方正小标宋简体" w:cs="Times New Roman"/>
          <w:b w:val="0"/>
          <w:bCs/>
          <w:color w:val="auto"/>
          <w:sz w:val="44"/>
          <w:szCs w:val="44"/>
          <w:lang w:val="en-US" w:eastAsia="zh-CN"/>
        </w:rPr>
        <w:t>2</w:t>
      </w:r>
      <w:r>
        <w:rPr>
          <w:rFonts w:hint="default" w:ascii="Times New Roman" w:hAnsi="Times New Roman" w:eastAsia="方正小标宋简体" w:cs="Times New Roman"/>
          <w:b w:val="0"/>
          <w:bCs/>
          <w:color w:val="auto"/>
          <w:sz w:val="44"/>
          <w:szCs w:val="44"/>
        </w:rPr>
        <w:t>年度</w:t>
      </w:r>
      <w:r>
        <w:rPr>
          <w:rFonts w:hint="default" w:ascii="Times New Roman" w:hAnsi="Times New Roman" w:eastAsia="方正小标宋简体" w:cs="Times New Roman"/>
          <w:b w:val="0"/>
          <w:bCs/>
          <w:color w:val="auto"/>
          <w:sz w:val="44"/>
          <w:szCs w:val="44"/>
          <w:lang w:eastAsia="zh-CN"/>
        </w:rPr>
        <w:t>金融事务中心</w:t>
      </w:r>
      <w:r>
        <w:rPr>
          <w:rFonts w:hint="default" w:ascii="Times New Roman" w:hAnsi="Times New Roman" w:eastAsia="方正小标宋简体" w:cs="Times New Roman"/>
          <w:b w:val="0"/>
          <w:bCs/>
          <w:color w:val="auto"/>
          <w:sz w:val="44"/>
          <w:szCs w:val="44"/>
        </w:rPr>
        <w:t>部门整体支出绩效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lang w:eastAsia="zh-CN"/>
        </w:rPr>
        <w:t>自评</w:t>
      </w:r>
      <w:r>
        <w:rPr>
          <w:rFonts w:hint="default" w:ascii="Times New Roman" w:hAnsi="Times New Roman" w:eastAsia="方正小标宋简体" w:cs="Times New Roman"/>
          <w:b w:val="0"/>
          <w:bCs/>
          <w:color w:val="auto"/>
          <w:sz w:val="44"/>
          <w:szCs w:val="44"/>
        </w:rPr>
        <w:t>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eastAsiaTheme="minorEastAsia"/>
          <w:b/>
          <w:bCs w:val="0"/>
          <w:color w:val="auto"/>
          <w:sz w:val="32"/>
          <w:szCs w:val="32"/>
          <w:lang w:eastAsia="zh-CN"/>
        </w:rPr>
      </w:pPr>
      <w:r>
        <w:rPr>
          <w:rFonts w:hint="default" w:ascii="Times New Roman" w:hAnsi="Times New Roman" w:eastAsia="黑体" w:cs="Times New Roman"/>
          <w:b w:val="0"/>
          <w:bCs/>
          <w:color w:val="auto"/>
          <w:sz w:val="32"/>
          <w:szCs w:val="32"/>
        </w:rPr>
        <w:t>一、</w:t>
      </w:r>
      <w:r>
        <w:rPr>
          <w:rFonts w:hint="default" w:ascii="Times New Roman" w:hAnsi="Times New Roman" w:eastAsia="黑体" w:cs="Times New Roman"/>
          <w:b w:val="0"/>
          <w:bCs/>
          <w:color w:val="auto"/>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eastAsia="zh-CN"/>
        </w:rPr>
      </w:pPr>
      <w:r>
        <w:rPr>
          <w:rFonts w:hint="default" w:ascii="Times New Roman" w:hAnsi="Times New Roman" w:eastAsia="楷体" w:cs="Times New Roman"/>
          <w:b/>
          <w:bCs w:val="0"/>
          <w:color w:val="auto"/>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职能职责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宣传贯彻国家、省、市有关金融工作的方针、政策和法律法规，研究拟订促进区域金融业发展的地方性政策和措施。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负责拟订区域金融业发展总体布局规划；研究拟定区域金融中心建设规划并协调实施长沙芙蓉金融中心区的建设发展。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负责协调引进各类金融机构，并做好相关服务工作。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负责全区金融机构的联络、协调和指导；负责区域内企业上市工作的统筹、协调和服务；积极协调培育区域性资本市场。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负责区域内融资性担保机构、小额贷款公司的日常监督和管理，积极防范、化解和处置区域内非法集资等金融风险，打造金融安全区。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eastAsiaTheme="minorEastAsia"/>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承办区委、区政府交办的其他事项。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机构设置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根据编办核定，本单位包括本级、内设科室、无二级机构。内设科室分别是办公室、金融服务室、资本市场服务室。</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eastAsia="zh-CN"/>
        </w:rPr>
      </w:pPr>
      <w:r>
        <w:rPr>
          <w:rFonts w:hint="default" w:ascii="Times New Roman" w:hAnsi="Times New Roman" w:eastAsia="楷体" w:cs="Times New Roman"/>
          <w:b/>
          <w:bCs w:val="0"/>
          <w:color w:val="auto"/>
          <w:sz w:val="32"/>
          <w:szCs w:val="32"/>
        </w:rPr>
        <w:t>（二）部门</w:t>
      </w:r>
      <w:r>
        <w:rPr>
          <w:rFonts w:hint="default" w:ascii="Times New Roman" w:hAnsi="Times New Roman" w:eastAsia="楷体" w:cs="Times New Roman"/>
          <w:b/>
          <w:bCs w:val="0"/>
          <w:color w:val="auto"/>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2022年初预算批复381.78万元，全年实际到位资金1083.48万元；实际支出1083.48万元，其中基本支出304.6万元，项目支出778.88万元；上年结余0万元，本年结余0万元。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二、一般公共预算支出情况</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rPr>
      </w:pPr>
      <w:r>
        <w:rPr>
          <w:rFonts w:hint="default" w:ascii="Times New Roman" w:hAnsi="Times New Roman" w:eastAsia="楷体" w:cs="Times New Roman"/>
          <w:b/>
          <w:bCs w:val="0"/>
          <w:color w:val="auto"/>
          <w:sz w:val="32"/>
          <w:szCs w:val="32"/>
        </w:rPr>
        <w:t>（一）基本支出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基本支出主要包括用于基本工资、津贴补贴等人员经费以及办公费、印刷费、水电费、办公设备购置等日常公用经费。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本年部门决算总收入1083.48万元，其中:财政拨款1083.48万元，其他收入0万元。本年部门决算总支出1083.48万元，其中:基本支出304.6万元，项目支出778.88万元。本年结余0万元。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本年部门决算基本支出304.6万元，主要数据如下:</w:t>
      </w:r>
    </w:p>
    <w:tbl>
      <w:tblPr>
        <w:tblStyle w:val="5"/>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66"/>
        <w:gridCol w:w="2605"/>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经济分类</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金额(万元)</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工资福利支出</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274.97</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90.27%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商品和服务支出</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26.07</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对个人和家庭的补助</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3.23</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资本性支出</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0.33</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基本支出总额</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304.6</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2.三公经费使用情况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我单位认真贯彻落实中央八项规定，执行作风建设相关规定，厉行节约，“三公”经费使用金额持续控制在较低水平，2022年全年因公出国出境费用0元;公务接待费0.58万元，公车运行维护费0万元。</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val="en-US" w:eastAsia="zh-CN"/>
        </w:rPr>
      </w:pPr>
      <w:r>
        <w:rPr>
          <w:rFonts w:hint="default" w:ascii="Times New Roman" w:hAnsi="Times New Roman" w:eastAsia="楷体" w:cs="Times New Roman"/>
          <w:b/>
          <w:bCs w:val="0"/>
          <w:color w:val="auto"/>
          <w:sz w:val="32"/>
          <w:szCs w:val="32"/>
          <w:lang w:val="en-US" w:eastAsia="zh-CN"/>
        </w:rPr>
        <w:t>（二）项目支出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项目支出主要包括: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本年部门决算项目支出778.88万元，主要数据如下:</w:t>
      </w:r>
    </w:p>
    <w:tbl>
      <w:tblPr>
        <w:tblStyle w:val="5"/>
        <w:tblW w:w="8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82"/>
        <w:gridCol w:w="2361"/>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8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功能分类</w:t>
            </w:r>
          </w:p>
        </w:tc>
        <w:tc>
          <w:tcPr>
            <w:tcW w:w="236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金额(万元)</w:t>
            </w:r>
          </w:p>
        </w:tc>
        <w:tc>
          <w:tcPr>
            <w:tcW w:w="200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8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行政运行</w:t>
            </w:r>
          </w:p>
        </w:tc>
        <w:tc>
          <w:tcPr>
            <w:tcW w:w="236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0</w:t>
            </w:r>
          </w:p>
        </w:tc>
        <w:tc>
          <w:tcPr>
            <w:tcW w:w="200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8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商品和服务支出</w:t>
            </w:r>
          </w:p>
        </w:tc>
        <w:tc>
          <w:tcPr>
            <w:tcW w:w="236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37.39</w:t>
            </w:r>
          </w:p>
        </w:tc>
        <w:tc>
          <w:tcPr>
            <w:tcW w:w="200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8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资本性支出</w:t>
            </w:r>
          </w:p>
        </w:tc>
        <w:tc>
          <w:tcPr>
            <w:tcW w:w="236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7.14</w:t>
            </w:r>
          </w:p>
        </w:tc>
        <w:tc>
          <w:tcPr>
            <w:tcW w:w="200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8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对企业补助</w:t>
            </w:r>
          </w:p>
        </w:tc>
        <w:tc>
          <w:tcPr>
            <w:tcW w:w="236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734.35</w:t>
            </w:r>
          </w:p>
        </w:tc>
        <w:tc>
          <w:tcPr>
            <w:tcW w:w="200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94.28%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8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项目支出总额</w:t>
            </w:r>
          </w:p>
        </w:tc>
        <w:tc>
          <w:tcPr>
            <w:tcW w:w="236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778.88</w:t>
            </w:r>
          </w:p>
        </w:tc>
        <w:tc>
          <w:tcPr>
            <w:tcW w:w="200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100</w:t>
            </w:r>
            <w:r>
              <w:rPr>
                <w:rFonts w:hint="default" w:ascii="Times New Roman" w:hAnsi="Times New Roman" w:eastAsia="仿宋_GB2312" w:cs="Times New Roman"/>
                <w:b w:val="0"/>
                <w:bCs/>
                <w:color w:val="auto"/>
                <w:sz w:val="32"/>
                <w:szCs w:val="32"/>
                <w:lang w:eastAsia="zh-CN"/>
              </w:rPr>
              <w:t>%</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我单位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四、资产管理情况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办公室设立资产专管员，负责资产管理，包括资产的采购、验收、登记、领用、维修保养及处置等日常管理。对纳入政府采购范围的资产，依法履行政府采购规定程序，对购入的固定资产要进行验收，填写固定资产验收单，明确使用科室和使用人;专管员登记固定资产账卡，及时告知会计进行账务处理;定期对固定资产进行账实核对，做到账账相符、账物相符、账卡相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eastAsia="zh-CN"/>
        </w:rPr>
        <w:t>五、</w:t>
      </w:r>
      <w:r>
        <w:rPr>
          <w:rFonts w:hint="default" w:ascii="Times New Roman" w:hAnsi="Times New Roman" w:eastAsia="黑体" w:cs="Times New Roman"/>
          <w:b w:val="0"/>
          <w:bCs/>
          <w:color w:val="auto"/>
          <w:sz w:val="32"/>
          <w:szCs w:val="32"/>
        </w:rPr>
        <w:t>政府性基金预算支出情况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我中心无政府性基金。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六、国有资本经营预算支出情况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我中心无国有资本经营情况。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七、社会保险基金预算支出情况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我中心无社会保险基金。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八、部门整体支出绩效情况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2022年，我单位根据年初工作规划和重点性工作，认真履职，较好地完成了年度工作目标。通过不断建立健全内部财务管理体制，部门整体支出管理情况较好，部门整体支出绩效评价情况如下:</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val="en-US" w:eastAsia="zh-CN"/>
        </w:rPr>
      </w:pPr>
      <w:r>
        <w:rPr>
          <w:rFonts w:hint="default" w:ascii="Times New Roman" w:hAnsi="Times New Roman" w:eastAsia="楷体" w:cs="Times New Roman"/>
          <w:b/>
          <w:bCs w:val="0"/>
          <w:color w:val="auto"/>
          <w:sz w:val="32"/>
          <w:szCs w:val="32"/>
          <w:lang w:val="en-US" w:eastAsia="zh-CN"/>
        </w:rPr>
        <w:t>(一)经济性评价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2022年我单位按照下达的预算批复，开源节流，严格控制预算支出，并按要求进行了预决算公开。整体支出控制在预算额度内，各项经费开支严格按标准支出，</w:t>
      </w:r>
      <w:r>
        <w:rPr>
          <w:rFonts w:hint="eastAsia" w:ascii="Times New Roman" w:hAnsi="Times New Roman" w:eastAsia="仿宋_GB2312" w:cs="Times New Roman"/>
          <w:b w:val="0"/>
          <w:bCs/>
          <w:color w:val="auto"/>
          <w:sz w:val="32"/>
          <w:szCs w:val="32"/>
          <w:lang w:val="en-US" w:eastAsia="zh-Hans"/>
        </w:rPr>
        <w:t>相比</w:t>
      </w:r>
      <w:r>
        <w:rPr>
          <w:rFonts w:hint="default" w:ascii="Times New Roman" w:hAnsi="Times New Roman" w:eastAsia="仿宋_GB2312" w:cs="Times New Roman"/>
          <w:b w:val="0"/>
          <w:bCs/>
          <w:color w:val="auto"/>
          <w:sz w:val="32"/>
          <w:szCs w:val="32"/>
          <w:lang w:eastAsia="zh-Hans"/>
        </w:rPr>
        <w:t>2021</w:t>
      </w:r>
      <w:r>
        <w:rPr>
          <w:rFonts w:hint="eastAsia" w:ascii="Times New Roman" w:hAnsi="Times New Roman" w:eastAsia="仿宋_GB2312" w:cs="Times New Roman"/>
          <w:b w:val="0"/>
          <w:bCs/>
          <w:color w:val="auto"/>
          <w:sz w:val="32"/>
          <w:szCs w:val="32"/>
          <w:lang w:val="en-US" w:eastAsia="zh-Hans"/>
        </w:rPr>
        <w:t>年支出数减少</w:t>
      </w:r>
      <w:r>
        <w:rPr>
          <w:rFonts w:hint="default" w:ascii="Times New Roman" w:hAnsi="Times New Roman" w:eastAsia="仿宋_GB2312" w:cs="Times New Roman"/>
          <w:b w:val="0"/>
          <w:bCs/>
          <w:color w:val="auto"/>
          <w:sz w:val="32"/>
          <w:szCs w:val="32"/>
          <w:lang w:eastAsia="zh-Hans"/>
        </w:rPr>
        <w:t>76</w:t>
      </w:r>
      <w:r>
        <w:rPr>
          <w:rFonts w:hint="eastAsia" w:ascii="Times New Roman" w:hAnsi="Times New Roman" w:eastAsia="仿宋_GB2312" w:cs="Times New Roman"/>
          <w:b w:val="0"/>
          <w:bCs/>
          <w:color w:val="auto"/>
          <w:sz w:val="32"/>
          <w:szCs w:val="32"/>
          <w:lang w:val="en-US" w:eastAsia="zh-Hans"/>
        </w:rPr>
        <w:t>.</w:t>
      </w:r>
      <w:r>
        <w:rPr>
          <w:rFonts w:hint="default" w:ascii="Times New Roman" w:hAnsi="Times New Roman" w:eastAsia="仿宋_GB2312" w:cs="Times New Roman"/>
          <w:b w:val="0"/>
          <w:bCs/>
          <w:color w:val="auto"/>
          <w:sz w:val="32"/>
          <w:szCs w:val="32"/>
          <w:lang w:eastAsia="zh-Hans"/>
        </w:rPr>
        <w:t>92</w:t>
      </w:r>
      <w:r>
        <w:rPr>
          <w:rFonts w:hint="eastAsia" w:ascii="Times New Roman" w:hAnsi="Times New Roman" w:eastAsia="仿宋_GB2312" w:cs="Times New Roman"/>
          <w:b w:val="0"/>
          <w:bCs/>
          <w:color w:val="auto"/>
          <w:sz w:val="32"/>
          <w:szCs w:val="32"/>
          <w:lang w:val="en-US" w:eastAsia="zh-Hans"/>
        </w:rPr>
        <w:t>万元</w:t>
      </w:r>
      <w:r>
        <w:rPr>
          <w:rFonts w:hint="default" w:ascii="Times New Roman" w:hAnsi="Times New Roman" w:eastAsia="仿宋_GB2312" w:cs="Times New Roman"/>
          <w:b w:val="0"/>
          <w:bCs/>
          <w:color w:val="auto"/>
          <w:sz w:val="32"/>
          <w:szCs w:val="32"/>
          <w:lang w:eastAsia="zh-Hans"/>
        </w:rPr>
        <w:t>，</w:t>
      </w:r>
      <w:r>
        <w:rPr>
          <w:rFonts w:hint="eastAsia" w:ascii="Times New Roman" w:hAnsi="Times New Roman" w:eastAsia="仿宋_GB2312" w:cs="Times New Roman"/>
          <w:b w:val="0"/>
          <w:bCs/>
          <w:color w:val="auto"/>
          <w:sz w:val="32"/>
          <w:szCs w:val="32"/>
          <w:lang w:val="en-US" w:eastAsia="zh-Hans"/>
        </w:rPr>
        <w:t>主要是项目支出减少</w:t>
      </w:r>
      <w:r>
        <w:rPr>
          <w:rFonts w:hint="default" w:ascii="Times New Roman" w:hAnsi="Times New Roman" w:eastAsia="仿宋_GB2312" w:cs="Times New Roman"/>
          <w:b w:val="0"/>
          <w:bCs/>
          <w:color w:val="auto"/>
          <w:sz w:val="32"/>
          <w:szCs w:val="32"/>
          <w:lang w:eastAsia="zh-Hans"/>
        </w:rPr>
        <w:t>，</w:t>
      </w:r>
      <w:r>
        <w:rPr>
          <w:rFonts w:hint="default" w:ascii="Times New Roman" w:hAnsi="Times New Roman" w:eastAsia="仿宋_GB2312" w:cs="Times New Roman"/>
          <w:b w:val="0"/>
          <w:bCs/>
          <w:color w:val="auto"/>
          <w:sz w:val="32"/>
          <w:szCs w:val="32"/>
          <w:lang w:val="en-US" w:eastAsia="zh-CN"/>
        </w:rPr>
        <w:t>提高了用款效率。2022年我单位严控三公经费，坚决杜绝违规公款吃喝、接待行为，三公经费支出持续维持在较低水平。</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val="en-US" w:eastAsia="zh-CN"/>
        </w:rPr>
      </w:pPr>
      <w:r>
        <w:rPr>
          <w:rFonts w:hint="default" w:ascii="Times New Roman" w:hAnsi="Times New Roman" w:eastAsia="楷体" w:cs="Times New Roman"/>
          <w:b/>
          <w:bCs w:val="0"/>
          <w:color w:val="auto"/>
          <w:sz w:val="32"/>
          <w:szCs w:val="32"/>
          <w:lang w:val="en-US" w:eastAsia="zh-CN"/>
        </w:rPr>
        <w:t>(二) 效率性、有效性评价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eastAsia="zh-Hans"/>
        </w:rPr>
      </w:pPr>
      <w:r>
        <w:rPr>
          <w:rFonts w:hint="default" w:ascii="Times New Roman" w:hAnsi="Times New Roman" w:eastAsia="仿宋_GB2312" w:cs="Times New Roman"/>
          <w:b w:val="0"/>
          <w:bCs/>
          <w:color w:val="auto"/>
          <w:sz w:val="32"/>
          <w:szCs w:val="32"/>
          <w:lang w:val="en-US" w:eastAsia="zh-CN"/>
        </w:rPr>
        <w:t>为强化部门整体支出效益，提高财政资金使用效益，建立节约型机关，2022年我单位在强化业务管理、财务管理和厉行节约方面展开了行之有效的工作，行政效能显著。一是加强</w:t>
      </w:r>
      <w:r>
        <w:rPr>
          <w:rFonts w:hint="eastAsia" w:ascii="Times New Roman" w:hAnsi="Times New Roman" w:eastAsia="仿宋_GB2312" w:cs="Times New Roman"/>
          <w:b w:val="0"/>
          <w:bCs/>
          <w:color w:val="auto"/>
          <w:sz w:val="32"/>
          <w:szCs w:val="32"/>
          <w:lang w:val="en-US" w:eastAsia="zh-Hans"/>
        </w:rPr>
        <w:t>监督管理</w:t>
      </w:r>
      <w:r>
        <w:rPr>
          <w:rFonts w:hint="default" w:ascii="Times New Roman" w:hAnsi="Times New Roman" w:eastAsia="仿宋_GB2312" w:cs="Times New Roman"/>
          <w:b w:val="0"/>
          <w:bCs/>
          <w:color w:val="auto"/>
          <w:sz w:val="32"/>
          <w:szCs w:val="32"/>
          <w:lang w:val="en-US" w:eastAsia="zh-CN"/>
        </w:rPr>
        <w:t>，以提升效益为导向，全面实施绩效管理。以强化管理为中心，稳步提升业务水平。以专项检查为抓手，更加规范财政管理。二是加强</w:t>
      </w:r>
      <w:r>
        <w:rPr>
          <w:rFonts w:hint="eastAsia" w:ascii="Times New Roman" w:hAnsi="Times New Roman" w:eastAsia="仿宋_GB2312" w:cs="Times New Roman"/>
          <w:b w:val="0"/>
          <w:bCs/>
          <w:color w:val="auto"/>
          <w:sz w:val="32"/>
          <w:szCs w:val="32"/>
          <w:lang w:val="en-US" w:eastAsia="zh-Hans"/>
        </w:rPr>
        <w:t>党的建设</w:t>
      </w:r>
      <w:r>
        <w:rPr>
          <w:rFonts w:hint="default" w:ascii="Times New Roman" w:hAnsi="Times New Roman" w:eastAsia="仿宋_GB2312" w:cs="Times New Roman"/>
          <w:b w:val="0"/>
          <w:bCs/>
          <w:color w:val="auto"/>
          <w:sz w:val="32"/>
          <w:szCs w:val="32"/>
          <w:lang w:val="en-US" w:eastAsia="zh-CN"/>
        </w:rPr>
        <w:t>，坚持以党建工作为引领，实施“党建+业务”模式，全面提升干部素质，进一步提升干部服务经济发展、服务人民群众的整体能力。</w:t>
      </w:r>
      <w:r>
        <w:rPr>
          <w:rFonts w:hint="eastAsia" w:ascii="Times New Roman" w:hAnsi="Times New Roman" w:eastAsia="仿宋_GB2312" w:cs="Times New Roman"/>
          <w:b w:val="0"/>
          <w:bCs/>
          <w:color w:val="auto"/>
          <w:sz w:val="32"/>
          <w:szCs w:val="32"/>
          <w:lang w:val="en-US" w:eastAsia="zh-Hans"/>
        </w:rPr>
        <w:t>三是坚持目标导向</w:t>
      </w:r>
      <w:r>
        <w:rPr>
          <w:rFonts w:hint="default" w:ascii="Times New Roman" w:hAnsi="Times New Roman" w:eastAsia="仿宋_GB2312" w:cs="Times New Roman"/>
          <w:b w:val="0"/>
          <w:bCs/>
          <w:color w:val="auto"/>
          <w:sz w:val="32"/>
          <w:szCs w:val="32"/>
          <w:lang w:eastAsia="zh-Hans"/>
        </w:rPr>
        <w:t>，持续优化金融营商环境、不断促进地方金融行业发展、积极培育多层次资本市场、坚决守住金融风险底线，为区域经济发展打下良好基础。</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val="en-US" w:eastAsia="zh-CN"/>
        </w:rPr>
      </w:pPr>
      <w:r>
        <w:rPr>
          <w:rFonts w:hint="default" w:ascii="Times New Roman" w:hAnsi="Times New Roman" w:eastAsia="楷体" w:cs="Times New Roman"/>
          <w:b/>
          <w:bCs w:val="0"/>
          <w:color w:val="auto"/>
          <w:sz w:val="32"/>
          <w:szCs w:val="32"/>
          <w:lang w:val="en-US" w:eastAsia="zh-CN"/>
        </w:rPr>
        <w:t>(三)可持续性评价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2022年，我单位紧紧围绕区委区政府工作要求，主动落实高质量发展要求，较好地完成了各项工作任务。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九、存在的问题及原因分析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一是财经机制仍需完善，以形成对财政资金的全面监管和对绩效目标的实时监控；二是预算编制工作目标仍需细化，以提高预算编制的合理性，进一步加强预算执行力度。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十、下一步改进措施</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val="en-US" w:eastAsia="zh-CN"/>
        </w:rPr>
      </w:pPr>
      <w:r>
        <w:rPr>
          <w:rFonts w:hint="default" w:ascii="Times New Roman" w:hAnsi="Times New Roman" w:eastAsia="楷体" w:cs="Times New Roman"/>
          <w:b/>
          <w:bCs w:val="0"/>
          <w:color w:val="auto"/>
          <w:sz w:val="32"/>
          <w:szCs w:val="32"/>
          <w:lang w:val="en-US" w:eastAsia="zh-CN"/>
        </w:rPr>
        <w:t>(一)加强管理，进一步完善内部控制制度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持续完善单位内部控制制度，形成完善的事前、事中、事后全过程的内控监督制度。加强专项资金管理，按工作要求加快专项资金下达及使用进度，切实发挥财政资金效益。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1" w:firstLineChars="200"/>
        <w:textAlignment w:val="auto"/>
        <w:rPr>
          <w:rFonts w:hint="default" w:ascii="Times New Roman" w:hAnsi="Times New Roman" w:eastAsia="楷体" w:cs="Times New Roman"/>
          <w:b/>
          <w:bCs w:val="0"/>
          <w:color w:val="auto"/>
          <w:sz w:val="32"/>
          <w:szCs w:val="32"/>
          <w:lang w:val="en-US" w:eastAsia="zh-CN"/>
        </w:rPr>
      </w:pPr>
      <w:bookmarkStart w:id="0" w:name="_GoBack"/>
      <w:bookmarkEnd w:id="0"/>
      <w:r>
        <w:rPr>
          <w:rFonts w:hint="default" w:ascii="Times New Roman" w:hAnsi="Times New Roman" w:eastAsia="楷体" w:cs="Times New Roman"/>
          <w:b/>
          <w:bCs w:val="0"/>
          <w:color w:val="auto"/>
          <w:sz w:val="32"/>
          <w:szCs w:val="32"/>
          <w:lang w:val="en-US" w:eastAsia="zh-CN"/>
        </w:rPr>
        <w:t>（二）强化培训，进一步提升财务人员专业水平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eastAsiaTheme="minorEastAsia"/>
          <w:b w:val="0"/>
          <w:bCs/>
          <w:color w:val="auto"/>
          <w:sz w:val="32"/>
          <w:szCs w:val="32"/>
        </w:rPr>
      </w:pPr>
      <w:r>
        <w:rPr>
          <w:rFonts w:hint="default" w:ascii="Times New Roman" w:hAnsi="Times New Roman" w:eastAsia="仿宋_GB2312" w:cs="Times New Roman"/>
          <w:b w:val="0"/>
          <w:bCs/>
          <w:color w:val="auto"/>
          <w:sz w:val="32"/>
          <w:szCs w:val="32"/>
          <w:lang w:val="en-US" w:eastAsia="zh-CN"/>
        </w:rPr>
        <w:t>加强对财务人员的业务培训，提高财务人员的专业素质和技能;使财务人员能深入把握财务管理相关规定，严格遵守财务管理制度。</w:t>
      </w:r>
      <w:r>
        <w:rPr>
          <w:rFonts w:hint="default" w:ascii="Times New Roman" w:hAnsi="Times New Roman" w:cs="Times New Roman" w:eastAsiaTheme="minorEastAsia"/>
          <w:b w:val="0"/>
          <w:bCs/>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eastAsiaTheme="minorEastAsia"/>
          <w:b w:val="0"/>
          <w:bCs/>
          <w:color w:val="auto"/>
          <w:sz w:val="32"/>
          <w:szCs w:val="32"/>
        </w:rPr>
      </w:pPr>
      <w:r>
        <w:rPr>
          <w:rFonts w:hint="default" w:ascii="Times New Roman" w:hAnsi="Times New Roman" w:cs="Times New Roman" w:eastAsiaTheme="minorEastAsia"/>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eastAsiaTheme="minorEastAsia"/>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 xml:space="preserve">  填报单位：长沙市芙蓉区金融事务中心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                         2023年6月29日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panose1 w:val="03000509000000000000"/>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xYTg4YzI1YTU2ZTllN2YzY2M1NDIwODdlOTdlYmUifQ=="/>
  </w:docVars>
  <w:rsids>
    <w:rsidRoot w:val="47966214"/>
    <w:rsid w:val="1D772D50"/>
    <w:rsid w:val="41C045D3"/>
    <w:rsid w:val="46405D3D"/>
    <w:rsid w:val="47966214"/>
    <w:rsid w:val="54FF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2046</Words>
  <Characters>2215</Characters>
  <Lines>0</Lines>
  <Paragraphs>0</Paragraphs>
  <TotalTime>3</TotalTime>
  <ScaleCrop>false</ScaleCrop>
  <LinksUpToDate>false</LinksUpToDate>
  <CharactersWithSpaces>2268</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2022-09-29T09:22:00Z</dcterms:created>
  <dc:creator>张琼</dc:creator>
  <cp:lastModifiedBy>简单爱</cp:lastModifiedBy>
  <dcterms:modified xsi:type="dcterms:W3CDTF">2023-07-02T23:40:17Z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D9E9AAE1670EE6D8619AA1646776B218</vt:lpwstr>
  </property>
</Properties>
</file>