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667" w:lineRule="exact"/>
        <w:ind w:firstLine="1289" w:firstLineChars="300"/>
        <w:jc w:val="both"/>
        <w:rPr>
          <w:rFonts w:hint="eastAsia" w:ascii="宋体" w:hAnsi="宋体" w:eastAsia="宋体" w:cs="宋体"/>
          <w:b/>
          <w:bCs/>
          <w:spacing w:val="-11"/>
          <w:position w:val="15"/>
          <w:sz w:val="45"/>
          <w:szCs w:val="45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11"/>
          <w:position w:val="15"/>
          <w:sz w:val="45"/>
          <w:szCs w:val="45"/>
        </w:rPr>
        <w:t>2022年度</w:t>
      </w:r>
      <w:r>
        <w:rPr>
          <w:rFonts w:ascii="宋体" w:hAnsi="宋体" w:eastAsia="宋体" w:cs="宋体"/>
          <w:spacing w:val="-106"/>
          <w:position w:val="15"/>
          <w:sz w:val="45"/>
          <w:szCs w:val="45"/>
        </w:rPr>
        <w:t xml:space="preserve"> </w:t>
      </w:r>
      <w:r>
        <w:rPr>
          <w:rFonts w:hint="eastAsia" w:ascii="宋体" w:hAnsi="宋体" w:eastAsia="宋体" w:cs="宋体"/>
          <w:spacing w:val="-106"/>
          <w:position w:val="15"/>
          <w:sz w:val="45"/>
          <w:szCs w:val="45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11"/>
          <w:position w:val="15"/>
          <w:sz w:val="45"/>
          <w:szCs w:val="45"/>
          <w:lang w:val="en-US" w:eastAsia="zh-CN"/>
        </w:rPr>
        <w:t>芙蓉区科学技术协会</w:t>
      </w:r>
    </w:p>
    <w:p>
      <w:pPr>
        <w:spacing w:before="146" w:line="667" w:lineRule="exact"/>
        <w:ind w:left="406"/>
        <w:jc w:val="center"/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1"/>
          <w:position w:val="15"/>
          <w:sz w:val="45"/>
          <w:szCs w:val="45"/>
        </w:rPr>
        <w:t>整体支出绩效</w:t>
      </w:r>
      <w:r>
        <w:rPr>
          <w:rFonts w:hint="eastAsia" w:ascii="宋体" w:hAnsi="宋体" w:eastAsia="宋体" w:cs="宋体"/>
          <w:b/>
          <w:bCs/>
          <w:spacing w:val="-11"/>
          <w:position w:val="15"/>
          <w:sz w:val="45"/>
          <w:szCs w:val="45"/>
          <w:lang w:eastAsia="zh-CN"/>
        </w:rPr>
        <w:t>自评报告</w:t>
      </w:r>
    </w:p>
    <w:p>
      <w:pPr>
        <w:spacing w:before="240" w:line="222" w:lineRule="auto"/>
        <w:ind w:left="644"/>
        <w:outlineLvl w:val="6"/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  <w:t>一、部门概况</w:t>
      </w:r>
    </w:p>
    <w:p>
      <w:pPr>
        <w:spacing w:before="184" w:line="224" w:lineRule="auto"/>
        <w:ind w:firstLine="747" w:firstLineChars="200"/>
        <w:rPr>
          <w:rFonts w:ascii="楷体" w:hAnsi="楷体" w:eastAsia="楷体" w:cs="楷体"/>
          <w:b/>
          <w:bCs/>
          <w:spacing w:val="21"/>
          <w:sz w:val="33"/>
          <w:szCs w:val="33"/>
        </w:rPr>
      </w:pPr>
      <w:r>
        <w:rPr>
          <w:rFonts w:ascii="楷体" w:hAnsi="楷体" w:eastAsia="楷体" w:cs="楷体"/>
          <w:b/>
          <w:bCs/>
          <w:spacing w:val="21"/>
          <w:sz w:val="33"/>
          <w:szCs w:val="33"/>
        </w:rPr>
        <w:t>(一)部门(单位)基本情况。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1.职能职责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(1)密切联系科学技术工作者,宣传党的路线方针政策，反映科学技术工作者的建议、意见和诉求，维护科学技术工作者的合法权益，建设科技工作者之家。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(2)开展学术交流，活跃学术思想，倡导学术民主，优化学术环境，促进学科发展，推进创新体系建设。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(3)组织科学技术工作者开展科技创新，参与科学论证和咨询服务，加快科技成果转化应用，助力创新驱动发展，推动企业增强自主创新能力。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(4)弘扬科学精神，普及科学知识，推广先进技术，传播科学思想和科学方法，捍卫科学尊严，提高全民科学素质。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(5)促进科学道德建设和学风建设, 宣传优秀科学技术工作者，培育科学文化，践行社会主义核心价值观。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(6)组织科技工作者参与经济社会发展,科技战略、规划、政策、法律法规的咨询制定，参与政治协商、科学决策、民主监督工作。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(7)推动所属学会有序承接科技评估、成果鉴定、工程技术领域职业资格认定、技术标准研制、科技奖励推荐等政府委托工作或转移职能。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(8)注重激发青少年科技兴趣，开展青少年科技教育,组织参与国家、省、市、区青少年科技相关竞赛，发现培养优秀青少年科技人才和团队,表彰奖励优秀科技工作者，举荐科技人才。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(9)联系区域高等院校、科研院所、科技产业载体和科技企业,联系全国性和省级、市级学会、科技社团，开展“两院”院士及专家创新团队服务工作，推动协同创新和智力人才引进。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(10)组织开展民间、国际科技学术交流与合作，发展同国内外科技团体和科技工作者的友好往来，为海外科技人才来我区创新创业提供服务。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(11)负责对所属学会进行管理，指导街道科协以及园区、企业、事业单位基层科协组织建设。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(12)兴办符合中国科学技术协会宗旨的社会公益性事业，完成区委、区政府交办的其他任务。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2.机构设置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根据编办核定，芙蓉区科学技术协会包括本级，无二级预算机构，内设办公室1个。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667" w:firstLineChars="200"/>
        <w:jc w:val="left"/>
        <w:textAlignment w:val="center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1"/>
          <w:position w:val="20"/>
          <w:sz w:val="33"/>
          <w:szCs w:val="33"/>
        </w:rPr>
        <w:t>(二)部门(单位)整体支出规模、使用方向和主要内容、</w:t>
      </w:r>
    </w:p>
    <w:p>
      <w:pPr>
        <w:spacing w:before="2" w:line="225" w:lineRule="auto"/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ascii="楷体" w:hAnsi="楷体" w:eastAsia="楷体" w:cs="楷体"/>
          <w:b/>
          <w:bCs/>
          <w:spacing w:val="-20"/>
          <w:sz w:val="33"/>
          <w:szCs w:val="33"/>
        </w:rPr>
        <w:t>涉及范围等。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ascii="黑体" w:hAnsi="黑体" w:eastAsia="黑体" w:cs="黑体"/>
          <w:b/>
          <w:bCs/>
          <w:spacing w:val="-22"/>
          <w:position w:val="20"/>
          <w:sz w:val="33"/>
          <w:szCs w:val="33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年预算批复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150.32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万元，全年实际到位资金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230.32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万元；实际支出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153.99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万元，其中基本支出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125.32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万元，项目支出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28.67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万元；上年结余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0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元，本年结余</w:t>
      </w: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0</w:t>
      </w:r>
      <w:r>
        <w:rPr>
          <w:rFonts w:hint="default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元。</w:t>
      </w:r>
    </w:p>
    <w:p>
      <w:pPr>
        <w:spacing w:before="240" w:line="222" w:lineRule="auto"/>
        <w:ind w:left="644"/>
        <w:outlineLvl w:val="6"/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  <w:t>二、 一般公共预算支出情况</w:t>
      </w:r>
    </w:p>
    <w:p>
      <w:pPr>
        <w:spacing w:line="225" w:lineRule="auto"/>
        <w:ind w:left="784"/>
        <w:rPr>
          <w:rFonts w:ascii="楷体" w:hAnsi="楷体" w:eastAsia="楷体" w:cs="楷体"/>
          <w:b/>
          <w:bCs/>
          <w:spacing w:val="17"/>
          <w:sz w:val="33"/>
          <w:szCs w:val="33"/>
        </w:rPr>
      </w:pPr>
      <w:r>
        <w:rPr>
          <w:rFonts w:ascii="楷体" w:hAnsi="楷体" w:eastAsia="楷体" w:cs="楷体"/>
          <w:b/>
          <w:bCs/>
          <w:spacing w:val="17"/>
          <w:sz w:val="33"/>
          <w:szCs w:val="33"/>
        </w:rPr>
        <w:t>(一)基本支出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z w:val="32"/>
          <w:szCs w:val="32"/>
          <w:lang w:val="en-US" w:eastAsia="zh-CN"/>
        </w:rPr>
        <w:t>2022年基本支出财政拨款125.32万元，包括用于基本工资、津贴补贴等人员经费以及办公费、印刷费、办公设备购置等日常公用经费。2022年本单位未产生三公经费。</w:t>
      </w:r>
    </w:p>
    <w:p>
      <w:pPr>
        <w:spacing w:before="190" w:line="232" w:lineRule="auto"/>
        <w:ind w:left="78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17"/>
          <w:sz w:val="33"/>
          <w:szCs w:val="33"/>
        </w:rPr>
        <w:t>(二)项目支出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2022年项目支出总额28.67万元，主要用于举办好“全国科普日”活动、科普进校园进社区等工作，通过多种工作方式积极履行科协组织服务科技工作者、服务创新驱动发展战略、服务公民科学素质提高、服务党委政府科学决策的职能，为芙蓉区打造现代化新长沙建设标杆区贡献科协力量。</w:t>
      </w:r>
    </w:p>
    <w:p>
      <w:pPr>
        <w:spacing w:before="240" w:line="222" w:lineRule="auto"/>
        <w:ind w:left="644"/>
        <w:outlineLvl w:val="6"/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  <w:t>三、 部门项目组织实施情况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我单位严格遵照相关支付制度、经费管理办法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spacing w:before="240" w:line="222" w:lineRule="auto"/>
        <w:ind w:left="644"/>
        <w:outlineLvl w:val="6"/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Arial"/>
          <w:snapToGrid w:val="0"/>
          <w:color w:val="000000"/>
          <w:kern w:val="0"/>
          <w:sz w:val="30"/>
          <w:szCs w:val="30"/>
        </w:rPr>
        <w:t>四、 资产管理情况</w:t>
      </w:r>
    </w:p>
    <w:p>
      <w:pPr>
        <w:spacing w:line="600" w:lineRule="exact"/>
        <w:ind w:firstLine="640" w:firstLineChars="200"/>
        <w:rPr>
          <w:rFonts w:hint="default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pStyle w:val="13"/>
        <w:numPr>
          <w:ilvl w:val="0"/>
          <w:numId w:val="2"/>
        </w:numPr>
        <w:spacing w:line="600" w:lineRule="exact"/>
        <w:ind w:firstLine="6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政府性基金预算支出情况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无政府性基金预算支出。</w:t>
      </w:r>
    </w:p>
    <w:p>
      <w:pPr>
        <w:pStyle w:val="13"/>
        <w:numPr>
          <w:ilvl w:val="0"/>
          <w:numId w:val="2"/>
        </w:numPr>
        <w:spacing w:line="600" w:lineRule="exact"/>
        <w:ind w:firstLine="6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国有资本经营预算支出情况</w:t>
      </w:r>
    </w:p>
    <w:p>
      <w:pPr>
        <w:pStyle w:val="13"/>
        <w:spacing w:line="600" w:lineRule="exact"/>
        <w:ind w:firstLine="0" w:firstLineChars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无国有资本经营预算支出。</w:t>
      </w:r>
    </w:p>
    <w:p>
      <w:pPr>
        <w:pStyle w:val="13"/>
        <w:numPr>
          <w:ilvl w:val="0"/>
          <w:numId w:val="2"/>
        </w:numPr>
        <w:spacing w:line="600" w:lineRule="exact"/>
        <w:ind w:firstLine="6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社会保险基金预算支出情况</w:t>
      </w:r>
    </w:p>
    <w:p>
      <w:pPr>
        <w:pStyle w:val="13"/>
        <w:spacing w:line="600" w:lineRule="exact"/>
        <w:ind w:left="420" w:leftChars="20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无</w:t>
      </w:r>
      <w:r>
        <w:rPr>
          <w:rFonts w:ascii="仿宋" w:hAnsi="仿宋" w:eastAsia="仿宋"/>
          <w:bCs/>
          <w:sz w:val="32"/>
          <w:szCs w:val="32"/>
        </w:rPr>
        <w:t>社会保险基金预算支出。</w:t>
      </w:r>
    </w:p>
    <w:p>
      <w:pPr>
        <w:numPr>
          <w:ilvl w:val="0"/>
          <w:numId w:val="0"/>
        </w:numPr>
        <w:spacing w:before="217" w:line="221" w:lineRule="auto"/>
        <w:ind w:left="644" w:leftChars="0"/>
        <w:outlineLvl w:val="6"/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  <w:t>八、</w:t>
      </w:r>
      <w:r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</w:rPr>
        <w:t>部门整体支出绩效情况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根据各项工作要求较好地完成了年度工作目标，通过不断建立健全内部财务制度等各项措施完善管理，部门整体支出管理情况较好，具体情况如下:</w:t>
      </w:r>
    </w:p>
    <w:p>
      <w:pPr>
        <w:spacing w:line="600" w:lineRule="exact"/>
        <w:ind w:firstLine="602" w:firstLineChars="200"/>
        <w:rPr>
          <w:rFonts w:ascii="Times New Roman" w:hAnsi="Times New Roman" w:eastAsia="楷体_GB2312"/>
          <w:b/>
          <w:bCs/>
          <w:sz w:val="30"/>
          <w:szCs w:val="30"/>
        </w:rPr>
      </w:pPr>
      <w:r>
        <w:rPr>
          <w:rFonts w:hint="eastAsia" w:ascii="Times New Roman" w:hAnsi="Times New Roman" w:eastAsia="楷体_GB2312"/>
          <w:b/>
          <w:bCs/>
          <w:sz w:val="30"/>
          <w:szCs w:val="30"/>
        </w:rPr>
        <w:t>(一)经济性评价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2022年，本单位整体支出按照区财政局下达的预算批复，严格控制预算支出，不断强化管理，严格执行了预决算公开。本年度各项资金拨付使用均已支付或完成预算指标文件的下达，不存在截留或滞留专项资金情况，同时严格根据我区及本部门的财务制度及流程进行开支，在圆满完成各项工作任务的基础上，较好的将各项开支控制在预算额度内。</w:t>
      </w:r>
    </w:p>
    <w:p>
      <w:pPr>
        <w:spacing w:line="600" w:lineRule="exact"/>
        <w:ind w:firstLine="602" w:firstLineChars="200"/>
        <w:jc w:val="left"/>
        <w:rPr>
          <w:rFonts w:ascii="Times New Roman" w:hAnsi="Times New Roman" w:eastAsia="楷体_GB2312"/>
          <w:b/>
          <w:bCs/>
          <w:sz w:val="30"/>
          <w:szCs w:val="30"/>
        </w:rPr>
      </w:pPr>
      <w:r>
        <w:rPr>
          <w:rFonts w:hint="eastAsia" w:ascii="Times New Roman" w:hAnsi="Times New Roman" w:eastAsia="楷体_GB2312"/>
          <w:b/>
          <w:bCs/>
          <w:sz w:val="30"/>
          <w:szCs w:val="30"/>
        </w:rPr>
        <w:t>（二）效率性、有效性评价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为强化部门整体支出，提高资金使用效益， 2022年我单位各项经费开支严格按标准支出，效率性、有效性显著，进一步提升了科协“四服务一加强”的整体能力。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1.做好市对区绩效评估“党建带群建”相关工作。在落实科协各项工作重点任务中始终坚持“党建带群建”，定期召开基层科协工作者的政治学习和业务培训会，坚定不移的贯彻执行党的路线、方针和政策，充分发挥科协组织的桥梁纽带作用，扎实推进各项重点工作任务高效落实。2022年在全区开展了“最美科技工作者”等先进典型推荐评选工作，在全国科普日芙蓉区主场活动上进行了表彰颁奖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2、做好省、市科协科普项目申报并落实相关工作。根据省、市科协项目申报政策认真筛选择优推荐，积极指导辖区内符合条件的相关单位做好申报，高效利用上级、本级资金，积极组织开展科普进社区、进校园、进企业等形式多样的科学普及活动，倡导科学生活理念和科学生活方式，普及科学知识，弘扬科学精神，营造辖区科普氛围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3.组织举办好全国科普日活动。根据国家、省市科协关于举办2022年全国科普日活动的通知要求，2022年9月15日至30日，围绕“喜迎二十大，科普向未来”主题，区科协联合相关单位走进辖区内的街道、社区、学校、企业，依托基层新时代文明实践站、党群服务中心等阵地，组织开展了二十场次线上线下全国科普日系列活动。活动动员科技志愿者共计300多人，发放科普资料1万余份，受益居民群众近2万人，在辖区内营造了浓厚的科普氛围，有效推广了全国科普日活动品牌，活动在中国科协官方微信公众号“科协改革进行时”、湖南省科协官方微信公众号“科普湖南”等多个网站报道，芙蓉区科协被省科协评选为2022年湖南省全国科普日优秀组织单位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4.积极做好科普信息化融合项目推广工作。积极推广科普信息网络传播权威平台，借助“科普中国”APP这一权威传播渠道，向全社会推广科学、权威、准确的科普信息内容和相关资讯，通过多种形式广泛发动大众注册“科普中国”信息员，合力推广科普信息，使科普信息化建设与传统科普模式深度融合。2022年，我区“科普中国”APP注册新增科普信息员5000余人，传播量新增240万余次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5.做好“三长”助力基层科普相关工作。联合区教育局、卫健局，助力各街道、社区将“三长”纳入基层科协领导班子，成立科普工作领导小组，充分发挥学校校长或卫生院院长优势，定期深入基层开展科普活动，为辖区内广大青少年、社区居民及老年人提供科普服务，合力推动全民科学素质提升。现全区共有2名“三长”担任区科协兼职副主席，19名“三长”担任街道科协兼职副主席，通过延长工作手臂，汇聚社会力量，为后续基层科普活动的可持续性开展创造了有利条件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6.协助做好院士专家工作站服务保障工作。积极服务院士专家工作站建设，广泛宣传院士专家工作站申报认定考核等相关政策，助力完成院士专家工作站经费下拨等服务保障工作。2022年，经市院士专家工作站建设协调领导小组批准，我区新成立绝味食品股份有限公司长沙市院士工作站、华智生物技术有限公司长沙市专家工作站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7.开展科技企业走访服务。积极走访芙蓉区科技企业，了解企业需求、宣传介绍院士专家工作站、海智计划等相关政策及科技工作者的相关评奖政策，宣传“科创中国”平台、鼓励企业入驻平台利用资源，助力企业实现与技术、人才、科技等创新要素供需对接，服务区域经济发展。</w:t>
      </w:r>
    </w:p>
    <w:p>
      <w:pPr>
        <w:spacing w:line="600" w:lineRule="exact"/>
        <w:ind w:firstLine="602" w:firstLineChars="200"/>
        <w:jc w:val="left"/>
        <w:rPr>
          <w:rFonts w:ascii="Times New Roman" w:hAnsi="Times New Roman" w:eastAsia="楷体_GB2312"/>
          <w:b/>
          <w:bCs/>
          <w:sz w:val="30"/>
          <w:szCs w:val="30"/>
        </w:rPr>
      </w:pPr>
      <w:r>
        <w:rPr>
          <w:rFonts w:hint="eastAsia" w:ascii="Times New Roman" w:hAnsi="Times New Roman" w:eastAsia="楷体_GB2312"/>
          <w:b/>
          <w:bCs/>
          <w:sz w:val="30"/>
          <w:szCs w:val="30"/>
        </w:rPr>
        <w:t>（三）可持续性评价</w:t>
      </w:r>
    </w:p>
    <w:p>
      <w:pPr>
        <w:spacing w:line="600" w:lineRule="exact"/>
        <w:ind w:firstLine="640" w:firstLineChars="200"/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2022年各项工作开展紧紧围绕中心服务大局，扎实有效的落实各项工作任务，较好地完成了工作目标，各项活动受众面满意度高、反响良好。</w:t>
      </w:r>
    </w:p>
    <w:p>
      <w:pPr>
        <w:numPr>
          <w:ilvl w:val="0"/>
          <w:numId w:val="0"/>
        </w:numPr>
        <w:spacing w:before="217" w:line="221" w:lineRule="auto"/>
        <w:ind w:left="644" w:leftChars="0"/>
        <w:outlineLvl w:val="6"/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  <w:t>九、 存在的问题及原因分析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(一)内控制度需进一步完善，单位内部机构进行了相应的优化，建立健全了财务管理制度，但仍需进一步强化财务约束监督体制。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（二）预算编制工作有待细化，以提高预算编制的合理性，进一步加强预算执行力度。</w:t>
      </w:r>
    </w:p>
    <w:p>
      <w:pPr>
        <w:numPr>
          <w:ilvl w:val="0"/>
          <w:numId w:val="0"/>
        </w:numPr>
        <w:spacing w:before="217" w:line="221" w:lineRule="auto"/>
        <w:ind w:left="644" w:leftChars="0"/>
        <w:outlineLvl w:val="6"/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  <w:t>十、 下一步改进措施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(一)加强管理，严格执行预算。做全项目支出预算，加强预算支出的审核、跟踪及预算执行情况分析，提高预算编制严谨性和可控性。</w:t>
      </w:r>
    </w:p>
    <w:p>
      <w:pPr>
        <w:spacing w:line="600" w:lineRule="exact"/>
        <w:ind w:firstLine="640" w:firstLineChars="200"/>
        <w:rPr>
          <w:rFonts w:hint="default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(二)强化学习培训，提高思想认识。加强对财务人员的业务培训，提高财务人员的专业素质和技能;使财务人员能深入把握财务管理相关规定，严格遵守财务管理制度。</w:t>
      </w:r>
    </w:p>
    <w:p>
      <w:pPr>
        <w:numPr>
          <w:ilvl w:val="0"/>
          <w:numId w:val="0"/>
        </w:numPr>
        <w:spacing w:before="217" w:line="221" w:lineRule="auto"/>
        <w:ind w:left="644" w:leftChars="0"/>
        <w:outlineLvl w:val="6"/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Arial"/>
          <w:snapToGrid w:val="0"/>
          <w:color w:val="000000"/>
          <w:kern w:val="0"/>
          <w:sz w:val="30"/>
          <w:szCs w:val="30"/>
          <w:lang w:val="en-US" w:eastAsia="zh-CN"/>
        </w:rPr>
        <w:t>十一、绩效自评结果拟应用和公开情况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按照财政要求在规定时间内完成2022年度整体绩效评价，并进行公开接受社会监督。</w:t>
      </w:r>
    </w:p>
    <w:p>
      <w:pPr>
        <w:spacing w:line="600" w:lineRule="exact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600" w:lineRule="exact"/>
        <w:ind w:firstLine="640" w:firstLineChars="200"/>
        <w:rPr>
          <w:rFonts w:hint="default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>芙蓉区科学技术协会</w:t>
      </w:r>
    </w:p>
    <w:p>
      <w:pPr>
        <w:spacing w:line="600" w:lineRule="exact"/>
        <w:ind w:firstLine="640" w:firstLineChars="200"/>
        <w:jc w:val="center"/>
        <w:rPr>
          <w:rFonts w:hint="default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b w:val="0"/>
          <w:bCs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2023年6月20日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40845"/>
    <w:multiLevelType w:val="multilevel"/>
    <w:tmpl w:val="2DB40845"/>
    <w:lvl w:ilvl="0" w:tentative="0">
      <w:start w:val="1"/>
      <w:numFmt w:val="japaneseCounting"/>
      <w:pStyle w:val="3"/>
      <w:lvlText w:val="%1、"/>
      <w:lvlJc w:val="left"/>
      <w:pPr>
        <w:ind w:left="18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abstractNum w:abstractNumId="1">
    <w:nsid w:val="48475AAC"/>
    <w:multiLevelType w:val="singleLevel"/>
    <w:tmpl w:val="48475AA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YTYzYzAzZTY4YzAxZDA2MjI2N2I1YmQ5YjgxZDcifQ=="/>
  </w:docVars>
  <w:rsids>
    <w:rsidRoot w:val="23B82FCB"/>
    <w:rsid w:val="03053D35"/>
    <w:rsid w:val="06930D7E"/>
    <w:rsid w:val="08B3253E"/>
    <w:rsid w:val="162A66C7"/>
    <w:rsid w:val="1B4772F0"/>
    <w:rsid w:val="1E614AFB"/>
    <w:rsid w:val="23B82FCB"/>
    <w:rsid w:val="25694E63"/>
    <w:rsid w:val="25B775B1"/>
    <w:rsid w:val="29C72969"/>
    <w:rsid w:val="2B7B641B"/>
    <w:rsid w:val="2D3C6187"/>
    <w:rsid w:val="312468F3"/>
    <w:rsid w:val="328336F0"/>
    <w:rsid w:val="344325B4"/>
    <w:rsid w:val="36080591"/>
    <w:rsid w:val="37681671"/>
    <w:rsid w:val="3ABB2076"/>
    <w:rsid w:val="3C6612D0"/>
    <w:rsid w:val="43261910"/>
    <w:rsid w:val="49D0645B"/>
    <w:rsid w:val="4E886911"/>
    <w:rsid w:val="519D406A"/>
    <w:rsid w:val="52432C25"/>
    <w:rsid w:val="52DB7486"/>
    <w:rsid w:val="5334256E"/>
    <w:rsid w:val="58CD2491"/>
    <w:rsid w:val="5C32128D"/>
    <w:rsid w:val="5F774396"/>
    <w:rsid w:val="60C767F0"/>
    <w:rsid w:val="62997A41"/>
    <w:rsid w:val="63FF2724"/>
    <w:rsid w:val="649C627F"/>
    <w:rsid w:val="6D61559A"/>
    <w:rsid w:val="70735A27"/>
    <w:rsid w:val="71282211"/>
    <w:rsid w:val="71675ECD"/>
    <w:rsid w:val="728429D8"/>
    <w:rsid w:val="731457BB"/>
    <w:rsid w:val="73D9089C"/>
    <w:rsid w:val="780C5F04"/>
    <w:rsid w:val="7B825CBD"/>
    <w:rsid w:val="7CC7600D"/>
    <w:rsid w:val="7E4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opLinePunct/>
      <w:snapToGrid w:val="0"/>
      <w:spacing w:line="600" w:lineRule="exact"/>
      <w:ind w:left="1321"/>
      <w:jc w:val="left"/>
      <w:outlineLvl w:val="0"/>
    </w:pPr>
    <w:rPr>
      <w:rFonts w:ascii="宋体" w:hAnsi="宋体" w:eastAsia="黑体"/>
      <w:bCs/>
      <w:kern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cs="仿宋_GB2312"/>
      <w:sz w:val="24"/>
      <w:szCs w:val="28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paragraph" w:styleId="6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2"/>
    <w:basedOn w:val="1"/>
    <w:qFormat/>
    <w:uiPriority w:val="0"/>
    <w:rPr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4120</Words>
  <Characters>4342</Characters>
  <Lines>0</Lines>
  <Paragraphs>0</Paragraphs>
  <TotalTime>24</TotalTime>
  <ScaleCrop>false</ScaleCrop>
  <LinksUpToDate>false</LinksUpToDate>
  <CharactersWithSpaces>4398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2023-06-12T02:59:00Z</dcterms:created>
  <dc:creator>xiaojia</dc:creator>
  <cp:lastModifiedBy>静静宝贝</cp:lastModifiedBy>
  <cp:lastPrinted>2023-06-29T07:15:00Z</cp:lastPrinted>
  <dcterms:modified xsi:type="dcterms:W3CDTF">2023-10-08T08:04:59Z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AD2E7E22D5B241B7BD1C6BC975F0E1E3</vt:lpwstr>
  </property>
</Properties>
</file>